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lang w:val="ru-RU"/>
        </w:rPr>
      </w:pPr>
      <w:r>
        <w:t xml:space="preserve">19е: О величине резервируемой мощности</w:t>
      </w:r>
      <w:r>
        <w:rPr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"Комфорт-Сити"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</w:t>
            </w:r>
            <w:r>
              <w:rPr>
                <w:sz w:val="22"/>
                <w:szCs w:val="22"/>
                <w:lang w:val="ru-RU"/>
              </w:rPr>
              <w:t xml:space="preserve">081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3.003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3.0816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3.7454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25.735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21.654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22.732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22.653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21.99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"Управляющая компания "Холмсервис"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</w:t>
            </w:r>
            <w:r>
              <w:rPr>
                <w:sz w:val="22"/>
                <w:szCs w:val="22"/>
                <w:lang w:val="ru-RU"/>
              </w:rPr>
              <w:t xml:space="preserve">32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0.813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0.548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0.679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4.223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</w:t>
            </w:r>
            <w:r>
              <w:rPr>
                <w:sz w:val="22"/>
                <w:szCs w:val="22"/>
                <w:lang w:val="ru-RU"/>
              </w:rPr>
              <w:t xml:space="preserve">201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3.41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3,675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3,544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tbl>
      <w:tblPr>
        <w:tblW w:w="15096" w:type="dxa"/>
        <w:tblInd w:w="52" w:type="dxa"/>
        <w:tblLayout w:type="fixed"/>
        <w:tblCellMar>
          <w:left w:w="55" w:type="dxa"/>
          <w:top w:w="55" w:type="dxa"/>
          <w:right w:w="55" w:type="dxa"/>
          <w:bottom w:w="55" w:type="dxa"/>
        </w:tblCellMar>
      </w:tblPr>
      <w:tblGrid>
        <w:gridCol w:w="1894"/>
        <w:gridCol w:w="3354"/>
        <w:gridCol w:w="2126"/>
        <w:gridCol w:w="1843"/>
        <w:gridCol w:w="1276"/>
        <w:gridCol w:w="850"/>
        <w:gridCol w:w="851"/>
        <w:gridCol w:w="850"/>
        <w:gridCol w:w="851"/>
        <w:gridCol w:w="1201"/>
      </w:tblGrid>
      <w:tr>
        <w:trPr>
          <w:cantSplit/>
        </w:trPr>
        <w:tc>
          <w:tcPr>
            <w:tcW w:w="189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потребителя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Всего</w:t>
            </w:r>
            <w:r>
              <w:rPr>
                <w:sz w:val="22"/>
                <w:szCs w:val="22"/>
                <w:lang w:val="ru-RU"/>
              </w:rPr>
            </w:r>
          </w:p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20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7722" w:type="dxa"/>
            <w:gridSpan w:val="7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том числе по уровням напряжения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2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ВН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</w:t>
            </w:r>
            <w:r>
              <w:rPr>
                <w:sz w:val="22"/>
                <w:szCs w:val="22"/>
                <w:lang w:val="en-US"/>
              </w:rPr>
              <w:t xml:space="preserve">I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СН2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НН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</w:t>
            </w:r>
          </w:p>
        </w:tc>
        <w:tc>
          <w:tcPr>
            <w:tcW w:w="335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</w:t>
            </w:r>
          </w:p>
        </w:tc>
        <w:tc>
          <w:tcPr>
            <w:tcW w:w="3402" w:type="dxa"/>
            <w:gridSpan w:val="4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6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7</w:t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126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 кв.</w:t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 кв.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 кв.</w:t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5096" w:type="dxa"/>
            <w:gridSpan w:val="10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Мощность (МВт)</w:t>
            </w:r>
          </w:p>
        </w:tc>
      </w:tr>
      <w:tr>
        <w:trPr>
          <w:cantSplit/>
        </w:trPr>
        <w:tc>
          <w:tcPr>
            <w:tcW w:w="1894" w:type="dxa"/>
            <w:vMerge w:val="restart"/>
            <w:tcBorders>
              <w:top w:val="single" w:color="000000" w:sz="2" w:space="0"/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ООО "Новый Город""</w:t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Заявленная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1.033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0.951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0.967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0.967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Максимальная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2,770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2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</w:t>
            </w:r>
            <w:r>
              <w:rPr>
                <w:sz w:val="22"/>
                <w:szCs w:val="22"/>
                <w:lang w:val="ru-RU"/>
              </w:rPr>
              <w:t xml:space="preserve">.</w:t>
            </w:r>
            <w:r>
              <w:rPr>
                <w:sz w:val="22"/>
                <w:szCs w:val="22"/>
                <w:lang w:val="ru-RU"/>
              </w:rPr>
              <w:t xml:space="preserve">770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rPr>
          <w:cantSplit/>
        </w:trPr>
        <w:tc>
          <w:tcPr>
            <w:tcW w:w="1894" w:type="dxa"/>
            <w:vMerge w:val="continue"/>
            <w:tcBorders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3354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Резервируемая мощность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1.737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1.849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0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1.803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1" w:space="0"/>
              <w:bottom w:val="single" w:color="000000" w:sz="1" w:space="0"/>
              <w:right w:val="single" w:color="000000" w:sz="2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1.803</w:t>
            </w: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12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</w:tr>
    </w:tbl>
    <w:sectPr>
      <w:type w:val="nextPage"/>
      <w:pgSz w:w="16838" w:h="11906" w:orient="landscape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ndale sans ui">
    <w:panose1 w:val="020B090202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pPr>
      <w:widowControl w:val="off"/>
    </w:pPr>
    <w:rPr>
      <w:rFonts w:eastAsia="Andale Sans UI"/>
      <w:sz w:val="24"/>
      <w:szCs w:val="24"/>
      <w:lang w:val="en-US" w:bidi="ar-SA" w:eastAsia="en-US"/>
    </w:rPr>
  </w:style>
  <w:style w:type="character" w:styleId="NormalCharacter">
    <w:name w:val="Основной шрифт абзаца"/>
    <w:next w:val="NormalCharacter"/>
    <w:link w:val="Normal"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Заголовок"/>
    <w:basedOn w:val="Normal"/>
    <w:next w:val="BodyText"/>
    <w:link w:val="Normal"/>
    <w:pPr>
      <w:keepNext/>
      <w:spacing w:before="240" w:after="120"/>
    </w:pPr>
    <w:rPr>
      <w:rFonts w:ascii="Arial" w:hAnsi="Arial" w:eastAsia="Andale Sans UI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20"/>
    </w:pPr>
  </w:style>
  <w:style w:type="paragraph" w:styleId="List">
    <w:name w:val="Список"/>
    <w:basedOn w:val="BodyText"/>
    <w:next w:val="List"/>
    <w:link w:val="Normal"/>
  </w:style>
  <w:style w:type="paragraph" w:styleId="Caption">
    <w:name w:val="Название объекта"/>
    <w:basedOn w:val="Normal"/>
    <w:next w:val="Caption"/>
    <w:link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UserStyle_0">
    <w:name w:val="Указатель1"/>
    <w:basedOn w:val="Normal"/>
    <w:next w:val="UserStyle_0"/>
    <w:link w:val="Normal"/>
    <w:pPr>
      <w:suppressLineNumbers/>
    </w:pPr>
  </w:style>
  <w:style w:type="paragraph" w:styleId="UserStyle_1">
    <w:name w:val="Содержимое таблицы"/>
    <w:basedOn w:val="Normal"/>
    <w:next w:val="UserStyle_1"/>
    <w:link w:val="Normal"/>
    <w:pPr>
      <w:suppressLineNumbers/>
    </w:pPr>
  </w:style>
  <w:style w:type="paragraph" w:styleId="UserStyle_2">
    <w:name w:val="Заголовок таблицы"/>
    <w:basedOn w:val="UserStyle_1"/>
    <w:next w:val="UserStyle_2"/>
    <w:link w:val="Normal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