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Normal"/>
        <w:ind w:firstLine="720"/>
        <w:jc w:val="center"/>
        <w:rPr>
          <w:b/>
          <w:bCs/>
        </w:rPr>
      </w:pPr>
      <w:r>
        <w:rPr>
          <w:b/>
          <w:bCs/>
        </w:rPr>
      </w:r>
    </w:p>
    <w:p>
      <w:pPr>
        <w:pStyle w:val="Normal"/>
        <w:ind w:firstLine="720"/>
        <w:jc w:val="center"/>
      </w:pPr>
      <w:r>
        <w:rPr>
          <w:b/>
          <w:bCs/>
        </w:rPr>
        <w:t xml:space="preserve">УСЛОВИЯ ТИПОВОГО ДОГОВОРА</w:t>
      </w:r>
      <w:r>
        <w:rPr>
          <w:b/>
          <w:bCs/>
        </w:rPr>
        <w:t xml:space="preserve"> № </w:t>
      </w:r>
      <w:r>
        <w:rPr>
          <w:b/>
          <w:bCs/>
        </w:rPr>
        <w:t xml:space="preserve">_______________</w:t>
      </w:r>
      <w:r>
        <w:rPr>
          <w:b/>
          <w:bCs/>
        </w:rPr>
        <w:br w:type="textWrapping" w:clear="all"/>
        <w:t xml:space="preserve">об осуществлении технологического присоединения к электрическим сетям</w:t>
      </w:r>
      <w:r>
        <w:br w:type="textWrapping" w:clear="all"/>
        <w:t xml:space="preserve">(</w:t>
      </w:r>
      <w:r>
        <w:t xml:space="preserve">для физических лиц в целях технологического присоединения энергопринимающих устройств, максимальная мощность которых составляет до 15 кВт включительно, с учетом ранее присоединенных в данной точке присоединения энергопринимающих устройств и которые используются для бытовых и иных нужд, не связанных с осуществлением предпринимательской деятельности</w:t>
      </w:r>
      <w:r>
        <w:t xml:space="preserve">)</w:t>
      </w:r>
      <w:r>
        <w:rPr>
          <w:b/>
          <w:bCs/>
        </w:rPr>
        <w:t xml:space="preserve"> </w:t>
      </w:r>
      <w:r>
        <w:rPr>
          <w:b/>
          <w:bCs/>
        </w:rPr>
        <w:t xml:space="preserve">до 1000 В.  </w:t>
      </w:r>
    </w:p>
    <w:p>
      <w:pPr>
        <w:pStyle w:val="Normal"/>
        <w:ind w:firstLine="720"/>
        <w:jc w:val="both"/>
      </w:pPr>
    </w:p>
    <w:p>
      <w:pPr>
        <w:pStyle w:val="Normal"/>
        <w:ind w:firstLine="720"/>
        <w:jc w:val="both"/>
      </w:pPr>
      <w:r>
        <w:t xml:space="preserve">г. </w:t>
      </w:r>
      <w:r>
        <w:t xml:space="preserve">Красноярск</w:t>
      </w:r>
      <w:r>
        <w:t xml:space="preserve">    </w:t>
      </w:r>
      <w:r>
        <w:t xml:space="preserve">                   </w:t>
      </w:r>
      <w:r>
        <w:t xml:space="preserve">               </w:t>
      </w:r>
      <w:r>
        <w:t xml:space="preserve">     </w:t>
      </w:r>
    </w:p>
    <w:p>
      <w:pPr>
        <w:pStyle w:val="Normal"/>
        <w:ind w:firstLine="720"/>
        <w:jc w:val="both"/>
        <w:rPr>
          <w:b/>
          <w:bCs/>
        </w:rPr>
      </w:pPr>
      <w:r>
        <w:rPr>
          <w:b/>
          <w:bCs/>
        </w:rPr>
      </w:r>
    </w:p>
    <w:p>
      <w:pPr>
        <w:pStyle w:val="Normal"/>
        <w:ind w:firstLine="720"/>
        <w:jc w:val="both"/>
      </w:pPr>
      <w:r>
        <w:rPr>
          <w:b/>
          <w:bCs/>
        </w:rPr>
        <w:t xml:space="preserve">__________________________________________________________________________</w:t>
      </w:r>
      <w:r>
        <w:t xml:space="preserve"> именуемое в дальнейшем Сетевой организацией, интересы которой представляет___________________________, действующий(ая) на основании ______________________________________, с одной стороны, и </w:t>
      </w:r>
    </w:p>
    <w:p>
      <w:pPr>
        <w:pStyle w:val="Normal"/>
        <w:ind w:firstLine="720"/>
        <w:jc w:val="both"/>
      </w:pPr>
      <w:r>
        <w:rPr>
          <w:b/>
          <w:bCs/>
        </w:rPr>
        <w:t xml:space="preserve">______________________________________________________________________</w:t>
      </w:r>
      <w:r>
        <w:t xml:space="preserve"> именуемый(ая) в дальнейшем Заявителем, с другой стороны, вместе именуемые Сторонами, заключили настоящий договор о нижеследующем:</w:t>
      </w:r>
    </w:p>
    <w:p>
      <w:pPr>
        <w:pStyle w:val="Normal"/>
        <w:ind w:firstLine="720"/>
        <w:jc w:val="both"/>
        <w:rPr>
          <w:b/>
          <w:bCs/>
        </w:rPr>
      </w:pPr>
      <w:r>
        <w:rPr>
          <w:b/>
          <w:bCs/>
        </w:rPr>
      </w:r>
    </w:p>
    <w:p>
      <w:pPr>
        <w:pStyle w:val="Normal"/>
        <w:ind w:firstLine="720"/>
        <w:jc w:val="center"/>
        <w:rPr>
          <w:b/>
          <w:bCs/>
        </w:rPr>
      </w:pPr>
      <w:r>
        <w:rPr>
          <w:b/>
          <w:bCs/>
        </w:rPr>
        <w:t xml:space="preserve">I. Предмет договора</w:t>
      </w:r>
    </w:p>
    <w:p>
      <w:pPr>
        <w:pStyle w:val="Normal"/>
        <w:ind w:firstLine="720"/>
        <w:jc w:val="both"/>
      </w:pPr>
      <w:r>
        <w:t xml:space="preserve">1.1. По настоящему договору Сетевая организация принимает на себя обязательства по осуществлению технологического присоединения энергопринимающих устройств Заявителя (далее - технологическое присоединение</w:t>
      </w:r>
      <w:r>
        <w:t xml:space="preserve">), в том числе по обеспечению готовности объектов электросетевого хозяйства (включая их проектирование, строительство, реконструкцию) к присоединению энергопринимающих устройств, урегулированию отношений с третьими лицами в случае необходимости строительства (модернизации) такими лицами принадлежащих им объектов электросетевого хозяйства (энергопринимающих устройств, объектов электроэнергетики), с учето</w:t>
      </w:r>
      <w:r>
        <w:t xml:space="preserve">м следующих характеристик:</w:t>
      </w:r>
    </w:p>
    <w:p>
      <w:pPr>
        <w:pStyle w:val="Normal"/>
        <w:ind w:firstLine="720"/>
        <w:jc w:val="both"/>
      </w:pPr>
      <w:r>
        <w:t xml:space="preserve">- </w:t>
      </w:r>
      <w:r>
        <w:t xml:space="preserve">максимальная мощность присоединяемых энергопринимающих устройств </w:t>
      </w:r>
      <w:r>
        <w:t xml:space="preserve">_____</w:t>
      </w:r>
      <w:r>
        <w:rPr>
          <w:b/>
          <w:bCs/>
        </w:rPr>
        <w:t xml:space="preserve"> кВт</w:t>
      </w:r>
      <w:r>
        <w:t xml:space="preserve">;</w:t>
      </w:r>
    </w:p>
    <w:p>
      <w:pPr>
        <w:pStyle w:val="Normal"/>
        <w:ind w:firstLine="720"/>
        <w:jc w:val="both"/>
      </w:pPr>
      <w:r>
        <w:t xml:space="preserve">- </w:t>
      </w:r>
      <w:r>
        <w:t xml:space="preserve">категория надёжности </w:t>
      </w:r>
      <w:r>
        <w:rPr>
          <w:b/>
          <w:bCs/>
        </w:rPr>
        <w:t xml:space="preserve">_________________</w:t>
      </w:r>
      <w:r>
        <w:t xml:space="preserve">;</w:t>
      </w:r>
    </w:p>
    <w:p>
      <w:pPr>
        <w:pStyle w:val="Normal"/>
        <w:ind w:firstLine="720"/>
        <w:jc w:val="both"/>
      </w:pPr>
      <w:r>
        <w:t xml:space="preserve">- </w:t>
      </w:r>
      <w:r>
        <w:t xml:space="preserve">класс напряжения электрических сетей, к которым</w:t>
      </w:r>
      <w:r>
        <w:t xml:space="preserve"> осуществляется технологическое </w:t>
      </w:r>
      <w:r>
        <w:t xml:space="preserve">присоединение </w:t>
      </w:r>
      <w:r>
        <w:t xml:space="preserve">______</w:t>
      </w:r>
      <w:r>
        <w:rPr>
          <w:b/>
          <w:bCs/>
        </w:rPr>
        <w:t xml:space="preserve"> кВ</w:t>
      </w:r>
      <w:r>
        <w:t xml:space="preserve">;</w:t>
      </w:r>
    </w:p>
    <w:p>
      <w:pPr>
        <w:pStyle w:val="Normal"/>
        <w:ind w:firstLine="720"/>
        <w:jc w:val="both"/>
      </w:pPr>
      <w:r>
        <w:t xml:space="preserve">- </w:t>
      </w:r>
      <w:r>
        <w:t xml:space="preserve">максимальная мощность ранее присоединённых энергопринимающих устройств </w:t>
      </w:r>
      <w:r>
        <w:t xml:space="preserve">_____</w:t>
      </w:r>
      <w:r>
        <w:rPr>
          <w:b/>
          <w:bCs/>
        </w:rPr>
        <w:t xml:space="preserve"> </w:t>
      </w:r>
      <w:r>
        <w:rPr>
          <w:b/>
          <w:bCs/>
        </w:rPr>
        <w:t xml:space="preserve">кВт</w:t>
      </w:r>
      <w:r>
        <w:t xml:space="preserve">.</w:t>
      </w:r>
    </w:p>
    <w:p>
      <w:pPr>
        <w:pStyle w:val="Normal"/>
        <w:ind w:firstLine="720"/>
        <w:jc w:val="both"/>
      </w:pPr>
      <w:r>
        <w:t xml:space="preserve">1.2. Заявитель обязуется оплатить расходы на технологическое присоединение в соответствии с условиями настоящего договора.</w:t>
      </w:r>
    </w:p>
    <w:p>
      <w:pPr>
        <w:pStyle w:val="Normal"/>
        <w:ind w:firstLine="720"/>
        <w:jc w:val="both"/>
      </w:pPr>
      <w:r>
        <w:t xml:space="preserve">2. Технологическое присоединение необходимо для электроснабжения объекта: </w:t>
      </w:r>
      <w:r>
        <w:rPr>
          <w:b/>
          <w:bCs/>
        </w:rPr>
        <w:t xml:space="preserve">_________________________</w:t>
      </w:r>
      <w:r>
        <w:rPr>
          <w:b/>
          <w:bCs/>
        </w:rPr>
        <w:t xml:space="preserve"> </w:t>
      </w:r>
      <w:r>
        <w:t xml:space="preserve"> по адресу: </w:t>
      </w:r>
      <w:r>
        <w:rPr>
          <w:b/>
          <w:bCs/>
        </w:rPr>
        <w:t xml:space="preserve">__________________________________________</w:t>
      </w:r>
      <w:r>
        <w:rPr>
          <w:b/>
          <w:bCs/>
        </w:rPr>
        <w:t xml:space="preserve">.</w:t>
      </w:r>
    </w:p>
    <w:p>
      <w:pPr>
        <w:pStyle w:val="Normal"/>
        <w:ind w:firstLine="720"/>
        <w:jc w:val="both"/>
      </w:pPr>
      <w:r>
        <w:t xml:space="preserve">3. Перечень мероприятий по технологическому присоединению содержится в Технических условиях</w:t>
      </w:r>
      <w:r>
        <w:t xml:space="preserve">,</w:t>
      </w:r>
      <w:r>
        <w:rPr>
          <w:b/>
          <w:bCs/>
        </w:rPr>
        <w:t xml:space="preserve"> </w:t>
      </w:r>
      <w:r>
        <w:t xml:space="preserve"> являющихся неотъемлемой частью настоящего договора</w:t>
      </w:r>
      <w:r>
        <w:t xml:space="preserve">, </w:t>
      </w:r>
      <w:r>
        <w:t xml:space="preserve"> размещенных на официальном сайте Сетевой организа</w:t>
      </w:r>
      <w:r>
        <w:t xml:space="preserve">ции в разделе «Л</w:t>
      </w:r>
      <w:r>
        <w:t xml:space="preserve">ичный кабинет потребителя» (далее Технические условия). Срок действия технических условий составляет 2 года</w:t>
      </w:r>
    </w:p>
    <w:p>
      <w:pPr>
        <w:pStyle w:val="Normal"/>
        <w:ind w:firstLine="720"/>
        <w:jc w:val="both"/>
      </w:pPr>
      <w:r>
        <w:t xml:space="preserve">4. Точка присоединения энергопринимающих устройств Заявителя к электрическим сетям Сетевой организации (далее Точка присоединения) указана в Технических условиях и располагается на расстоянии не далее 15 метров во внешнюю сторону от границы участка, на котором располагаются (будут располагаться) присоединяемые объекты Заявителя.</w:t>
      </w:r>
    </w:p>
    <w:p>
      <w:pPr>
        <w:pStyle w:val="Normal"/>
        <w:ind w:firstLine="720"/>
        <w:jc w:val="both"/>
      </w:pPr>
      <w:r>
        <w:t xml:space="preserve">5. Срок выполнения  мероприятий по технологическому присоединению составляет </w:t>
      </w:r>
      <w:r>
        <w:t xml:space="preserve">________________________</w:t>
      </w:r>
      <w:r>
        <w:t xml:space="preserve"> со дня заключения настоящего договора.</w:t>
      </w:r>
    </w:p>
    <w:p>
      <w:pPr>
        <w:pStyle w:val="Normal"/>
        <w:ind w:firstLine="720"/>
        <w:jc w:val="both"/>
        <w:rPr>
          <w:b/>
          <w:bCs/>
        </w:rPr>
      </w:pPr>
      <w:r>
        <w:rPr>
          <w:b/>
          <w:bCs/>
        </w:rPr>
      </w:r>
    </w:p>
    <w:p>
      <w:pPr>
        <w:pStyle w:val="Normal"/>
        <w:ind w:firstLine="720"/>
        <w:jc w:val="center"/>
        <w:rPr>
          <w:b/>
          <w:bCs/>
        </w:rPr>
      </w:pPr>
      <w:r>
        <w:rPr>
          <w:b/>
          <w:bCs/>
        </w:rPr>
        <w:t xml:space="preserve">II. Порядок заключения договора</w:t>
      </w:r>
    </w:p>
    <w:p>
      <w:pPr>
        <w:pStyle w:val="Normal"/>
        <w:ind w:firstLine="720"/>
        <w:jc w:val="both"/>
      </w:pPr>
      <w:r>
        <w:rPr>
          <w:bCs/>
        </w:rPr>
        <w:t xml:space="preserve">6. Договор </w:t>
      </w:r>
      <w:r>
        <w:t xml:space="preserve">заключается путем направления Заявителю выставляемого Сетевой организацией счета для внесения платы за технологическое присоединение и оплаты заявителем указанного счета. </w:t>
      </w:r>
    </w:p>
    <w:p>
      <w:pPr>
        <w:pStyle w:val="Normal"/>
        <w:ind w:firstLine="720"/>
        <w:jc w:val="both"/>
      </w:pPr>
      <w:r>
        <w:t xml:space="preserve">7. Заявитель при внесении платы за технологическое присоединение в назначении платежа обязан указать реквизиты выставленного Сетевой организацией счета. </w:t>
      </w:r>
    </w:p>
    <w:p>
      <w:pPr>
        <w:pStyle w:val="Normal"/>
        <w:ind w:firstLine="720"/>
        <w:jc w:val="both"/>
      </w:pPr>
      <w:r>
        <w:t xml:space="preserve">8. Договор считается заключенным со дня оплаты заявителем выставленного Сетевой организацией счета. </w:t>
      </w:r>
    </w:p>
    <w:p>
      <w:pPr>
        <w:pStyle w:val="Normal"/>
        <w:ind w:firstLine="720"/>
        <w:jc w:val="both"/>
      </w:pPr>
      <w:r>
        <w:t xml:space="preserve">9. В случае несоблюдения заявителем обязанности по оплате сче</w:t>
      </w:r>
      <w:r>
        <w:t xml:space="preserve">та в срок, установленный п. 15</w:t>
      </w:r>
      <w:r>
        <w:t xml:space="preserve"> настоящего договора договор считается незаключенным, а заявка аннулируется.</w:t>
      </w:r>
    </w:p>
    <w:p>
      <w:pPr>
        <w:pStyle w:val="Normal"/>
        <w:ind w:firstLine="720"/>
        <w:jc w:val="both"/>
        <w:rPr>
          <w:b/>
          <w:bCs/>
        </w:rPr>
      </w:pPr>
      <w:r>
        <w:rPr>
          <w:b/>
          <w:bCs/>
        </w:rPr>
      </w:r>
    </w:p>
    <w:p>
      <w:pPr>
        <w:pStyle w:val="Normal"/>
        <w:ind w:firstLine="720"/>
        <w:jc w:val="both"/>
        <w:rPr>
          <w:b/>
          <w:bCs/>
        </w:rPr>
      </w:pPr>
      <w:r>
        <w:rPr>
          <w:b/>
          <w:bCs/>
        </w:rPr>
      </w:r>
    </w:p>
    <w:p>
      <w:pPr>
        <w:pStyle w:val="Normal"/>
        <w:ind w:firstLine="720"/>
        <w:jc w:val="center"/>
        <w:rPr>
          <w:b/>
          <w:bCs/>
        </w:rPr>
      </w:pPr>
      <w:r>
        <w:rPr>
          <w:b/>
          <w:bCs/>
        </w:rPr>
        <w:t xml:space="preserve">II</w:t>
      </w:r>
      <w:r>
        <w:rPr>
          <w:b/>
          <w:bCs/>
          <w:lang w:val="en-US"/>
        </w:rPr>
        <w:t xml:space="preserve">I</w:t>
      </w:r>
      <w:r>
        <w:rPr>
          <w:b/>
          <w:bCs/>
        </w:rPr>
        <w:t xml:space="preserve">. Обязанности Сторон</w:t>
      </w:r>
    </w:p>
    <w:p>
      <w:pPr>
        <w:pStyle w:val="Normal"/>
        <w:ind w:firstLine="720"/>
        <w:jc w:val="both"/>
      </w:pPr>
      <w:r>
        <w:t xml:space="preserve">10. Сетевая организация обязуется надлежащим образом исполнить обязательства по настоящему договору, в том числе:</w:t>
      </w:r>
    </w:p>
    <w:p>
      <w:pPr>
        <w:pStyle w:val="Normal"/>
        <w:ind w:firstLine="720"/>
        <w:jc w:val="both"/>
      </w:pPr>
      <w:r>
        <w:t xml:space="preserve">- выполнить возложенные на Сетевую организацию мероприятия по технологическому присоединению (включая урегулирование отношений с иными лицами) до Точки присоединения, указанной в Технических условиях;</w:t>
      </w:r>
    </w:p>
    <w:p>
      <w:pPr>
        <w:pStyle w:val="Normal"/>
        <w:ind w:firstLine="720"/>
        <w:jc w:val="both"/>
      </w:pPr>
      <w:r>
        <w:t xml:space="preserve">- обеспечить возможность действиями Заявителя осуществить фактическое присоединение объектов Заявителя к электрическим сетям и фактический прием (подачу) напряжения и мощности для потребления энергопринимающими устройствами Заявителя электрической энергии (мощности);</w:t>
      </w:r>
    </w:p>
    <w:p>
      <w:pPr>
        <w:pStyle w:val="Normal"/>
        <w:ind w:firstLine="720"/>
        <w:jc w:val="both"/>
      </w:pPr>
      <w:r>
        <w:t xml:space="preserve">- разместить в личном кабинете потребителя акт допуска прибора учета в эксплуатацию в срок не позднее окончания рабочего дня, когда был осуществлен допуск в эксплуатацию прибора учета. </w:t>
      </w:r>
    </w:p>
    <w:p>
      <w:pPr>
        <w:pStyle w:val="Normal"/>
        <w:ind w:firstLine="720"/>
        <w:jc w:val="both"/>
      </w:pPr>
      <w:r>
        <w:t xml:space="preserve">- уведомить заявителя  о размещении в личном кабинете потребителя акта допуска прибора</w:t>
      </w:r>
      <w:r>
        <w:t xml:space="preserve"> учета в эксплуатацию, в срок не позднее (в течение) 1 рабочего дня со дня размещен</w:t>
      </w:r>
      <w:r>
        <w:t xml:space="preserve">ия</w:t>
      </w:r>
      <w:r>
        <w:t xml:space="preserve"> (</w:t>
      </w:r>
      <w:r>
        <w:rPr>
          <w:lang w:val="en-US"/>
        </w:rPr>
        <w:t xml:space="preserve">sms</w:t>
      </w:r>
      <w:r>
        <w:t xml:space="preserve"> на номер телефона: </w:t>
      </w:r>
      <w:r>
        <w:t xml:space="preserve">________________</w:t>
      </w:r>
      <w:r>
        <w:t xml:space="preserve">)</w:t>
      </w:r>
      <w:r>
        <w:t xml:space="preserve">.</w:t>
      </w:r>
    </w:p>
    <w:p>
      <w:pPr>
        <w:pStyle w:val="Normal"/>
        <w:ind w:firstLine="720"/>
        <w:jc w:val="both"/>
      </w:pPr>
      <w:r>
        <w:t xml:space="preserve">Прибор учета считается введенным в эксплуатацию со дня размещения акта допуска прибора учета в эксплуатацию в личном кабинете потребителя и с этого дня его показания учитываются при определении объема потребления электрической энергии.</w:t>
      </w:r>
    </w:p>
    <w:p>
      <w:pPr>
        <w:pStyle w:val="Normal"/>
        <w:ind w:firstLine="720"/>
        <w:jc w:val="both"/>
      </w:pPr>
      <w:r>
        <w:t xml:space="preserve">- по результатам выполнения сетевой организацией мероприятий по технологическому присоединению в соответствии с Техническими условиями составить в эл</w:t>
      </w:r>
      <w:r>
        <w:t xml:space="preserve">ектронной форме и разместить в Л</w:t>
      </w:r>
      <w:r>
        <w:t xml:space="preserve">ичном кабинете потребителя акт о выполнении технических условий и акт об осуществлении технологического присоединения</w:t>
      </w:r>
      <w:r>
        <w:t xml:space="preserve">,</w:t>
      </w:r>
      <w:r>
        <w:t xml:space="preserve"> подписанные усиленной квалифицированной </w:t>
      </w:r>
      <w:r>
        <w:fldChar w:fldCharType="begin"/>
      </w:r>
      <w:r>
        <w:instrText xml:space="preserve">HYPERLINK "garantF1://12084522.21"</w:instrText>
      </w:r>
      <w:r>
        <w:fldChar w:fldCharType="separate"/>
      </w:r>
      <w:r>
        <w:t xml:space="preserve">электронной подписью</w:t>
      </w:r>
      <w:r>
        <w:fldChar w:fldCharType="end"/>
      </w:r>
      <w:r>
        <w:t xml:space="preserve"> уполномоченного лица Сетевой организации;</w:t>
      </w:r>
    </w:p>
    <w:p>
      <w:pPr>
        <w:pStyle w:val="Normal"/>
        <w:ind w:firstLine="720"/>
        <w:jc w:val="both"/>
      </w:pPr>
      <w:r>
        <w:t xml:space="preserve">- уведомить заявителя о составлении и размещении в личном кабинете </w:t>
      </w:r>
      <w:r>
        <w:t xml:space="preserve">документов, подлежащих оформлению в процессе технологического присоединения энергопринимающих устройств заявителя </w:t>
      </w:r>
      <w:r>
        <w:t xml:space="preserve">(</w:t>
      </w:r>
      <w:r>
        <w:rPr>
          <w:lang w:val="en-US"/>
        </w:rPr>
        <w:t xml:space="preserve">sms</w:t>
      </w:r>
      <w:r>
        <w:t xml:space="preserve"> на номер телефона: </w:t>
      </w:r>
      <w:r>
        <w:t xml:space="preserve">________________</w:t>
      </w:r>
      <w:r>
        <w:t xml:space="preserve">).</w:t>
      </w:r>
    </w:p>
    <w:p>
      <w:pPr>
        <w:pStyle w:val="Normal"/>
        <w:ind w:firstLine="720"/>
        <w:jc w:val="both"/>
      </w:pPr>
      <w:r>
        <w:t xml:space="preserve">- уведомить заявителя о составлении и размещении в личном кабинете потребителя акта о выполнении технических условий и акта об осуществлении технологического присоединения не позднее окончания рабочего дня, в течение которого были составлены </w:t>
      </w:r>
      <w:r>
        <w:t xml:space="preserve">и размещены указанные </w:t>
      </w:r>
      <w:r>
        <w:t xml:space="preserve">документы </w:t>
      </w:r>
      <w:r>
        <w:t xml:space="preserve">(</w:t>
      </w:r>
      <w:r>
        <w:rPr>
          <w:lang w:val="en-US"/>
        </w:rPr>
        <w:t xml:space="preserve">sms</w:t>
      </w:r>
      <w:r>
        <w:t xml:space="preserve"> на номер телефона: </w:t>
      </w:r>
      <w:r>
        <w:t xml:space="preserve">________________</w:t>
      </w:r>
      <w:r>
        <w:t xml:space="preserve">).</w:t>
      </w:r>
    </w:p>
    <w:p>
      <w:pPr>
        <w:pStyle w:val="Normal"/>
        <w:ind w:firstLine="720"/>
        <w:jc w:val="both"/>
      </w:pPr>
      <w:r>
        <w:t xml:space="preserve">- </w:t>
      </w:r>
      <w:r>
        <w:t xml:space="preserve">в случае поступления замечаний от Заявителя, </w:t>
      </w:r>
      <w:r>
        <w:t xml:space="preserve">устранить несоответствия реализованных Сетевой организацией мероприятий Техническим условиям и (или) Правилам технологического присоединения энергопринимающих устройств потребителей электрической энергии … к электрическим сетям, утвержденным </w:t>
      </w:r>
      <w:r>
        <w:fldChar w:fldCharType="begin"/>
      </w:r>
      <w:r>
        <w:instrText xml:space="preserve">HYPERLINK \l "sub_0"</w:instrText>
      </w:r>
      <w:r>
        <w:fldChar w:fldCharType="separate"/>
      </w:r>
      <w:r>
        <w:t xml:space="preserve">постановлением</w:t>
      </w:r>
      <w:r>
        <w:fldChar w:fldCharType="end"/>
      </w:r>
      <w:r>
        <w:t xml:space="preserve"> Правительства РФ от 27 декабря 2004 г. N 861 (далее Правила),  в срок не позднее 10 рабочих д</w:t>
      </w:r>
      <w:r>
        <w:t xml:space="preserve">ней со дня поступления </w:t>
      </w:r>
      <w:r>
        <w:t xml:space="preserve"> замечаний</w:t>
      </w:r>
      <w:r>
        <w:t xml:space="preserve"> Заявителя</w:t>
      </w:r>
      <w:r>
        <w:t xml:space="preserve">;</w:t>
      </w:r>
    </w:p>
    <w:p>
      <w:pPr>
        <w:pStyle w:val="Normal"/>
        <w:ind w:firstLine="720"/>
        <w:jc w:val="both"/>
      </w:pPr>
      <w:r>
        <w:t xml:space="preserve">- </w:t>
      </w:r>
      <w:r>
        <w:t xml:space="preserve">в случае обращения </w:t>
      </w:r>
      <w:r>
        <w:t xml:space="preserve">Заявителя (потребителя)</w:t>
      </w:r>
      <w:r>
        <w:t xml:space="preserve">, </w:t>
      </w:r>
      <w:r>
        <w:t xml:space="preserve">устранить обстоятельства, свидетельствующие о ненадлежащем исполнении Сетевой организацией технических условий, установленные Заявителем в течение 6 месяцев после подписания со стороны Сетевой организации акта о выполнении технических условий и акта об осуществлении технологического присоединения в процессе поставки электрической энергии (мощности) Заявителю (потребителю), в срок не позднее 20 рабочих дней со дня пос</w:t>
      </w:r>
      <w:r>
        <w:t xml:space="preserve">тупления </w:t>
      </w:r>
      <w:r>
        <w:t xml:space="preserve"> обращения</w:t>
      </w:r>
      <w:r>
        <w:t xml:space="preserve"> Заявителя (потребителя)</w:t>
      </w:r>
      <w:r>
        <w:t xml:space="preserve">. </w:t>
      </w:r>
    </w:p>
    <w:p>
      <w:pPr>
        <w:pStyle w:val="Normal"/>
        <w:ind w:firstLine="720"/>
        <w:jc w:val="both"/>
      </w:pPr>
      <w:r>
        <w:t xml:space="preserve">- </w:t>
      </w:r>
      <w:r>
        <w:t xml:space="preserve">в случае обращения Заявителя, </w:t>
      </w:r>
      <w:r>
        <w:t xml:space="preserve">направить Заявителю </w:t>
      </w:r>
      <w:r>
        <w:t xml:space="preserve">документы, </w:t>
      </w:r>
      <w:r>
        <w:t xml:space="preserve">размеще</w:t>
      </w:r>
      <w:r>
        <w:t xml:space="preserve">нные С</w:t>
      </w:r>
      <w:r>
        <w:t xml:space="preserve">етевой организацией</w:t>
      </w:r>
      <w:r>
        <w:t xml:space="preserve"> (гарантирующим поставщиком) в Л</w:t>
      </w:r>
      <w:r>
        <w:t xml:space="preserve">ичном кабинете по</w:t>
      </w:r>
      <w:r>
        <w:t xml:space="preserve">требителя, на бумажном носителе, </w:t>
      </w:r>
      <w:r>
        <w:t xml:space="preserve">подписанные со стороны сетевой организации, в течение 30 календарных дней со дня поступления обращения Заявителя (потребителя).</w:t>
      </w:r>
    </w:p>
    <w:p>
      <w:pPr>
        <w:pStyle w:val="Normal"/>
        <w:ind w:firstLine="720"/>
        <w:jc w:val="both"/>
      </w:pPr>
      <w:r>
        <w:t xml:space="preserve">11.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</w:t>
      </w:r>
      <w:r>
        <w:t xml:space="preserve">,</w:t>
      </w:r>
      <w:r>
        <w:t xml:space="preserve"> вправе по обращению Заявителя продлить срок действия технических условий. При этом дополнительная плата не взимается.</w:t>
      </w:r>
    </w:p>
    <w:p>
      <w:pPr>
        <w:pStyle w:val="Normal"/>
        <w:ind w:firstLine="720"/>
        <w:jc w:val="both"/>
      </w:pPr>
      <w:r>
        <w:t xml:space="preserve">12. Заявитель обязуется надлежащим образом исполнить обязательства по настоящему договору, в том числе:</w:t>
      </w:r>
    </w:p>
    <w:p>
      <w:pPr>
        <w:pStyle w:val="Normal"/>
        <w:ind w:firstLine="720"/>
        <w:jc w:val="both"/>
      </w:pPr>
      <w:r>
        <w:t xml:space="preserve">- выполнить возложенные на Заявителя мероприятия по технологическому присоединению от Точки присоединения до энергопринимающих устройств Заявителя, указанные в Технических условиях;</w:t>
      </w:r>
    </w:p>
    <w:p>
      <w:pPr>
        <w:pStyle w:val="Normal"/>
        <w:ind w:firstLine="720"/>
        <w:jc w:val="both"/>
      </w:pPr>
      <w:r>
        <w:t xml:space="preserve">- выполнить перечень мероприятий по фактическому присоединению и фактическому приему напряжения и мощности в строгой последовательности и в строгом соответствии с инструкцией, размещенной на сайте Сетевой организации в разделе «Личный кабинет потребителя». </w:t>
      </w:r>
    </w:p>
    <w:p>
      <w:pPr>
        <w:pStyle w:val="Normal"/>
        <w:ind w:firstLine="720"/>
        <w:jc w:val="both"/>
      </w:pPr>
      <w:r>
        <w:t xml:space="preserve">- обеспечить на безвозмездной основе предоставление сетевой организации мест установки приборов учета электрической энергии и (или) иного указанного оборудования и доступ к таким местам, в случае, если в соответствии с законодательством Российской Федерации установка приборов учета электрической энергии и (или) иного оборудования, необходимого для обеспечения коммерческого учета электрической энергии и обеспечения сетевой организацией возможности действиями заявителя осуществить фактическое присоединение объектов заявителя к электрическим сетям и фактический прием (подачу) напряжения и мощности для потребления энергопринимающими устройствами заявителя электрической энергии (мощности) возможна только в границах участка заявителя или на объектах заявителя.</w:t>
      </w:r>
    </w:p>
    <w:p>
      <w:pPr>
        <w:pStyle w:val="Normal"/>
        <w:ind w:firstLine="720"/>
        <w:jc w:val="both"/>
      </w:pPr>
      <w:r>
        <w:t xml:space="preserve">- исполнять обязательства по оплате расходов на технологическое присоединение в порядке и на условиях, предусмотренных настоящим Договором;</w:t>
      </w:r>
    </w:p>
    <w:p>
      <w:pPr>
        <w:pStyle w:val="Normal"/>
        <w:ind w:firstLine="720"/>
        <w:jc w:val="both"/>
      </w:pPr>
      <w:r>
        <w:t xml:space="preserve">13. Заявитель вправе:</w:t>
      </w:r>
    </w:p>
    <w:p>
      <w:pPr>
        <w:pStyle w:val="Normal"/>
        <w:ind w:firstLine="720"/>
        <w:jc w:val="both"/>
      </w:pPr>
      <w:r>
        <w:t xml:space="preserve">-  обратиться в Сетевую организацию с просьбой о продлении срока действия технических условий,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присоединения;</w:t>
      </w:r>
    </w:p>
    <w:p>
      <w:pPr>
        <w:pStyle w:val="Normal"/>
        <w:ind w:firstLine="720"/>
        <w:jc w:val="both"/>
      </w:pPr>
      <w:r>
        <w:t xml:space="preserve">- представить Сетевой организации замечания к акту о выполнении технических условий и  акту об осуществлении технологического присоединения, в течение 20 рабочих дней со дня получения уведомления от сетевой организаци</w:t>
      </w:r>
      <w:r>
        <w:t xml:space="preserve">и о составлении и размещении в Л</w:t>
      </w:r>
      <w:r>
        <w:t xml:space="preserve">ичном кабинете потребителя указанных актов;</w:t>
      </w:r>
    </w:p>
    <w:p>
      <w:pPr>
        <w:pStyle w:val="Normal"/>
        <w:ind w:firstLine="720"/>
        <w:jc w:val="both"/>
      </w:pPr>
      <w:r>
        <w:t xml:space="preserve">- обратиться к сетевой организации за устранением обстоятельств, свидетельству</w:t>
      </w:r>
      <w:r>
        <w:t xml:space="preserve">ющих о ненадлежащем исполнении С</w:t>
      </w:r>
      <w:r>
        <w:t xml:space="preserve">етевой организацией техн</w:t>
      </w:r>
      <w:r>
        <w:t xml:space="preserve">ических условий, установленных З</w:t>
      </w:r>
      <w:r>
        <w:t xml:space="preserve">аявителем в течение 6 месяцев после подписания со стороны сетевой организации акта о выполнении технических условий и акта об осуществлении технологического присоединения в процессе поставки электрической энергии (мощности) потребителю.</w:t>
      </w:r>
    </w:p>
    <w:p>
      <w:pPr>
        <w:pStyle w:val="Normal"/>
        <w:ind w:firstLine="720"/>
        <w:jc w:val="both"/>
      </w:pPr>
      <w:r>
        <w:t xml:space="preserve">- обратиться, после завершения процедуры технологического присоединения, к Сетевой организации с требованием предоставления доку</w:t>
      </w:r>
      <w:r>
        <w:t xml:space="preserve">ментов, которые были размещены С</w:t>
      </w:r>
      <w:r>
        <w:t xml:space="preserve">етевой организацией</w:t>
      </w:r>
      <w:r>
        <w:t xml:space="preserve"> (гарантирующим поставщиком) в Л</w:t>
      </w:r>
      <w:r>
        <w:t xml:space="preserve">ичном кабинете потребителя, на бумажном носителе. </w:t>
      </w:r>
    </w:p>
    <w:p>
      <w:pPr>
        <w:pStyle w:val="Normal"/>
        <w:ind w:firstLine="720"/>
        <w:jc w:val="both"/>
        <w:rPr>
          <w:b/>
          <w:bCs/>
        </w:rPr>
      </w:pPr>
      <w:r>
        <w:rPr>
          <w:b/>
          <w:bCs/>
        </w:rPr>
      </w:r>
    </w:p>
    <w:p>
      <w:pPr>
        <w:pStyle w:val="Normal"/>
        <w:ind w:firstLine="720"/>
        <w:jc w:val="center"/>
        <w:rPr>
          <w:b/>
          <w:bCs/>
        </w:rPr>
      </w:pPr>
      <w:r>
        <w:rPr>
          <w:b/>
          <w:bCs/>
        </w:rPr>
        <w:t xml:space="preserve">I</w:t>
      </w:r>
      <w:r>
        <w:rPr>
          <w:b/>
          <w:bCs/>
          <w:lang w:val="en-US"/>
        </w:rPr>
        <w:t xml:space="preserve">V</w:t>
      </w:r>
      <w:r>
        <w:rPr>
          <w:b/>
          <w:bCs/>
        </w:rPr>
        <w:t xml:space="preserve">. Плата за технологическое присоединение и порядок расчетов</w:t>
      </w:r>
      <w:r>
        <w:rPr>
          <w:b/>
          <w:bCs/>
        </w:rPr>
      </w:r>
    </w:p>
    <w:p>
      <w:pPr>
        <w:pStyle w:val="Normal"/>
        <w:ind w:firstLine="720"/>
        <w:jc w:val="both"/>
      </w:pPr>
      <w:r>
        <w:t xml:space="preserve">14. Размер платы за технологическое присоединение определяется в соответствии с приказом Департамента тарифного регулирования </w:t>
      </w:r>
      <w:r>
        <w:t xml:space="preserve">Красноярского края</w:t>
      </w:r>
      <w:r>
        <w:t xml:space="preserve"> </w:t>
      </w:r>
      <w:r>
        <w:rPr>
          <w:b/>
          <w:bCs/>
        </w:rPr>
        <w:t xml:space="preserve">_____________________</w:t>
      </w:r>
      <w:r>
        <w:rPr>
          <w:b/>
          <w:bCs/>
        </w:rPr>
        <w:t xml:space="preserve"> и составляет </w:t>
      </w:r>
      <w:r>
        <w:rPr>
          <w:b/>
          <w:bCs/>
        </w:rPr>
        <w:t xml:space="preserve">________________</w:t>
      </w:r>
      <w:r>
        <w:rPr>
          <w:b/>
          <w:bCs/>
        </w:rPr>
        <w:t xml:space="preserve"> (</w:t>
      </w:r>
      <w:r>
        <w:rPr>
          <w:b/>
          <w:bCs/>
        </w:rPr>
        <w:t xml:space="preserve">___________________________________</w:t>
      </w:r>
      <w:r>
        <w:rPr>
          <w:b/>
          <w:bCs/>
        </w:rPr>
        <w:t xml:space="preserve">)</w:t>
      </w:r>
      <w:r>
        <w:t xml:space="preserve">, в том числе НДС 20%.</w:t>
      </w:r>
    </w:p>
    <w:p>
      <w:pPr>
        <w:pStyle w:val="Normal"/>
        <w:ind w:firstLine="720"/>
        <w:jc w:val="both"/>
      </w:pPr>
      <w:r>
        <w:t xml:space="preserve">15. Внесение платы за технологическое присоединение осуществляется Заявителем в следующем порядке:</w:t>
      </w:r>
      <w:r>
        <w:t xml:space="preserve"> </w:t>
      </w:r>
    </w:p>
    <w:p>
      <w:pPr>
        <w:pStyle w:val="Normal"/>
        <w:ind w:firstLine="720"/>
        <w:jc w:val="both"/>
      </w:pPr>
      <w:r>
        <w:rPr>
          <w:b/>
          <w:bCs/>
        </w:rPr>
        <w:t xml:space="preserve">100 процентов в течение 5 рабочих дней</w:t>
      </w:r>
      <w:r>
        <w:rPr>
          <w:bCs/>
        </w:rPr>
        <w:t xml:space="preserve"> </w:t>
      </w:r>
      <w:r>
        <w:t xml:space="preserve">со дня выставления сетевой организацией счета</w:t>
      </w:r>
      <w:r>
        <w:rPr>
          <w:bCs/>
        </w:rPr>
        <w:t xml:space="preserve">.</w:t>
      </w:r>
    </w:p>
    <w:p>
      <w:pPr>
        <w:pStyle w:val="Normal"/>
        <w:ind w:firstLine="720"/>
        <w:jc w:val="both"/>
      </w:pPr>
      <w:r>
        <w:t xml:space="preserve">16.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организации.</w:t>
      </w:r>
    </w:p>
    <w:p>
      <w:pPr>
        <w:pStyle w:val="Normal"/>
        <w:ind w:firstLine="720"/>
        <w:jc w:val="both"/>
        <w:rPr>
          <w:b/>
          <w:bCs/>
        </w:rPr>
      </w:pPr>
      <w:r>
        <w:rPr>
          <w:b/>
          <w:bCs/>
        </w:rPr>
      </w:r>
    </w:p>
    <w:p>
      <w:pPr>
        <w:pStyle w:val="Normal"/>
        <w:ind w:firstLine="720"/>
        <w:jc w:val="center"/>
        <w:rPr>
          <w:b/>
          <w:bCs/>
        </w:rPr>
      </w:pPr>
      <w:r>
        <w:rPr>
          <w:b/>
          <w:bCs/>
        </w:rPr>
        <w:t xml:space="preserve">V. Разграничение балансовой принадлежности электрических сетей</w:t>
      </w:r>
    </w:p>
    <w:p>
      <w:pPr>
        <w:pStyle w:val="Normal"/>
        <w:ind w:firstLine="720"/>
        <w:jc w:val="center"/>
        <w:rPr>
          <w:b/>
          <w:bCs/>
        </w:rPr>
      </w:pPr>
      <w:r>
        <w:rPr>
          <w:b/>
          <w:bCs/>
        </w:rPr>
        <w:t xml:space="preserve">и эксплуатационной ответственности Сторон</w:t>
      </w:r>
    </w:p>
    <w:p>
      <w:pPr>
        <w:pStyle w:val="Normal"/>
        <w:ind w:firstLine="720"/>
        <w:jc w:val="both"/>
        <w:rPr>
          <w:b/>
          <w:bCs/>
        </w:rPr>
      </w:pPr>
      <w:r>
        <w:t xml:space="preserve">17. Границей балансовой принадлежности энергопринимающих устройств и эксплуатационной о</w:t>
      </w:r>
      <w:r>
        <w:t xml:space="preserve">тветственности сторон является Т</w:t>
      </w:r>
      <w:r>
        <w:t xml:space="preserve">очка присоединения энергопринимающих устройств, если иное не уста</w:t>
      </w:r>
      <w:bookmarkStart w:id="0" w:name="_GoBack"/>
      <w:bookmarkEnd w:id="0"/>
      <w:r>
        <w:t xml:space="preserve">новлено соглашением между сетевой организацией и заявителем, заключенным на основании его обращения в сетевую организацию.</w:t>
      </w:r>
      <w:r>
        <w:rPr>
          <w:b/>
          <w:bCs/>
        </w:rPr>
        <w:t xml:space="preserve"> </w:t>
      </w:r>
      <w:r>
        <w:rPr>
          <w:b/>
          <w:bCs/>
        </w:rPr>
      </w:r>
    </w:p>
    <w:p>
      <w:pPr>
        <w:pStyle w:val="Normal"/>
        <w:ind w:firstLine="720"/>
        <w:jc w:val="both"/>
        <w:rPr>
          <w:b/>
          <w:bCs/>
        </w:rPr>
      </w:pPr>
      <w:r>
        <w:rPr>
          <w:b/>
          <w:bCs/>
        </w:rPr>
      </w:r>
    </w:p>
    <w:p>
      <w:pPr>
        <w:pStyle w:val="Normal"/>
        <w:ind w:firstLine="720"/>
        <w:jc w:val="center"/>
        <w:rPr>
          <w:b/>
          <w:bCs/>
        </w:rPr>
      </w:pPr>
      <w:r>
        <w:rPr>
          <w:b/>
          <w:bCs/>
          <w:lang w:val="en-US"/>
        </w:rPr>
        <w:t xml:space="preserve">VI</w:t>
      </w:r>
      <w:r>
        <w:rPr>
          <w:b/>
          <w:bCs/>
        </w:rPr>
        <w:t xml:space="preserve">. Условия изменения, расторжения договора и ответственность Сторон</w:t>
      </w:r>
    </w:p>
    <w:p>
      <w:pPr>
        <w:pStyle w:val="Normal"/>
        <w:ind w:firstLine="720"/>
        <w:jc w:val="both"/>
        <w:rPr>
          <w:lang w:val="en-US"/>
        </w:rPr>
      </w:pPr>
      <w:r>
        <w:t xml:space="preserve">18. Настоящий договор может быть изменен по письменному соглашению Сторон или в судебном порядке.</w:t>
      </w:r>
      <w:r>
        <w:rPr>
          <w:lang w:val="en-US"/>
        </w:rPr>
      </w:r>
    </w:p>
    <w:p>
      <w:pPr>
        <w:pStyle w:val="Normal"/>
        <w:ind w:firstLine="720"/>
        <w:jc w:val="both"/>
        <w:rPr>
          <w:lang w:val="en-US"/>
        </w:rPr>
      </w:pPr>
      <w:r>
        <w:t xml:space="preserve">19. Договор может быть расторгнут по требованию одной из Сторон по основаниям, предусмотренным Гражданским кодексом Российской Федерации.</w:t>
      </w:r>
      <w:r>
        <w:rPr>
          <w:lang w:val="en-US"/>
        </w:rPr>
      </w:r>
    </w:p>
    <w:p>
      <w:pPr>
        <w:pStyle w:val="Normal"/>
        <w:ind w:firstLine="720"/>
        <w:jc w:val="both"/>
        <w:rPr>
          <w:lang w:val="en-US"/>
        </w:rPr>
      </w:pPr>
      <w:r>
        <w:t xml:space="preserve">20.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договор.</w:t>
      </w:r>
      <w:r>
        <w:rPr>
          <w:lang w:val="en-US"/>
        </w:rPr>
      </w:r>
    </w:p>
    <w:p>
      <w:pPr>
        <w:pStyle w:val="Normal"/>
        <w:ind w:firstLine="720"/>
        <w:jc w:val="both"/>
      </w:pPr>
      <w:r>
        <w:t xml:space="preserve">2</w:t>
      </w:r>
      <w:r>
        <w:t xml:space="preserve">1</w:t>
      </w:r>
      <w:r>
        <w:t xml:space="preserve">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>
      <w:pPr>
        <w:pStyle w:val="Normal"/>
        <w:ind w:firstLine="720"/>
        <w:jc w:val="both"/>
      </w:pPr>
      <w:r>
        <w:t xml:space="preserve">2</w:t>
      </w:r>
      <w:r>
        <w:t xml:space="preserve">2</w:t>
      </w:r>
      <w:r>
        <w:t xml:space="preserve">. Стороны освобождаются от ответственности за частичное или полное неисполнение обязательств по настоящему договору, если  оно явилось следствием обстоятельств непреодолимой силы,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</w:t>
      </w:r>
    </w:p>
    <w:p>
      <w:pPr>
        <w:pStyle w:val="Normal"/>
        <w:ind w:firstLine="720"/>
        <w:jc w:val="both"/>
      </w:pPr>
    </w:p>
    <w:p>
      <w:pPr>
        <w:pStyle w:val="Normal"/>
        <w:ind w:firstLine="720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VI. </w:t>
      </w:r>
      <w:r>
        <w:rPr>
          <w:b/>
          <w:bCs/>
        </w:rPr>
        <w:t xml:space="preserve">Порядок разрешения споров</w:t>
      </w:r>
      <w:r>
        <w:rPr>
          <w:b/>
          <w:bCs/>
          <w:lang w:val="en-US"/>
        </w:rPr>
      </w:r>
    </w:p>
    <w:p>
      <w:pPr>
        <w:pStyle w:val="Normal"/>
        <w:ind w:firstLine="720"/>
        <w:jc w:val="both"/>
      </w:pPr>
      <w:r>
        <w:t xml:space="preserve">2</w:t>
      </w:r>
      <w:r>
        <w:t xml:space="preserve">3</w:t>
      </w:r>
      <w:r>
        <w:t xml:space="preserve">. Споры, которые могут возникнуть при исполнении, изменении, расторжении настоящего договора, Стороны разрешают в соответствии с законодательством Российской Федерации.</w:t>
      </w:r>
    </w:p>
    <w:p>
      <w:pPr>
        <w:pStyle w:val="Normal"/>
        <w:ind w:firstLine="720"/>
        <w:jc w:val="center"/>
        <w:rPr>
          <w:lang w:val="en-US"/>
        </w:rPr>
      </w:pPr>
      <w:r>
        <w:rPr>
          <w:b/>
          <w:bCs/>
          <w:lang w:val="en-US"/>
        </w:rPr>
        <w:t xml:space="preserve">VII. </w:t>
      </w:r>
      <w:r>
        <w:rPr>
          <w:b/>
          <w:bCs/>
        </w:rPr>
        <w:t xml:space="preserve">Заключительные положения</w:t>
      </w:r>
      <w:r>
        <w:rPr>
          <w:lang w:val="en-US"/>
        </w:rPr>
      </w:r>
    </w:p>
    <w:p>
      <w:pPr>
        <w:pStyle w:val="Normal"/>
        <w:ind w:firstLine="720"/>
        <w:jc w:val="both"/>
      </w:pPr>
      <w:r>
        <w:t xml:space="preserve">2</w:t>
      </w:r>
      <w:r>
        <w:t xml:space="preserve">4</w:t>
      </w:r>
      <w:r>
        <w:t xml:space="preserve">. Настоящий договор составлен и подписан в двух экземплярах, по одному для каждой из Сторон.</w:t>
      </w:r>
    </w:p>
    <w:p>
      <w:pPr>
        <w:pStyle w:val="Normal"/>
        <w:ind w:firstLine="720"/>
        <w:jc w:val="both"/>
        <w:rPr>
          <w:b/>
          <w:bCs/>
        </w:rPr>
      </w:pPr>
      <w:r>
        <w:rPr>
          <w:b/>
          <w:bCs/>
        </w:rPr>
      </w:r>
    </w:p>
    <w:p>
      <w:pPr>
        <w:pStyle w:val="Normal"/>
        <w:ind w:firstLine="720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VIII. </w:t>
      </w:r>
      <w:r>
        <w:rPr>
          <w:b/>
          <w:bCs/>
        </w:rPr>
        <w:t xml:space="preserve">Реквизиты Сторон</w:t>
      </w:r>
      <w:r>
        <w:rPr>
          <w:b/>
          <w:bCs/>
          <w:lang w:val="en-US"/>
        </w:rPr>
      </w:r>
    </w:p>
    <w:p>
      <w:pPr>
        <w:pStyle w:val="Normal"/>
        <w:ind w:firstLine="720"/>
        <w:jc w:val="both"/>
        <w:rPr>
          <w:b/>
          <w:bCs/>
          <w:lang w:val="en-US"/>
        </w:rPr>
      </w:pPr>
      <w:r>
        <w:rPr>
          <w:b/>
          <w:bCs/>
          <w:lang w:val="en-US"/>
        </w:rPr>
      </w:r>
    </w:p>
    <w:p>
      <w:pPr>
        <w:pStyle w:val="Normal"/>
        <w:ind w:firstLine="720"/>
        <w:jc w:val="both"/>
        <w:rPr>
          <w:b/>
          <w:bCs/>
        </w:rPr>
      </w:pPr>
      <w:r>
        <w:rPr>
          <w:b/>
          <w:bCs/>
        </w:rPr>
      </w:r>
    </w:p>
    <w:p>
      <w:pPr>
        <w:pStyle w:val="Normal"/>
        <w:ind w:firstLine="720"/>
        <w:jc w:val="both"/>
      </w:pPr>
    </w:p>
    <w:p>
      <w:pPr>
        <w:pStyle w:val="Normal"/>
        <w:ind w:firstLine="720"/>
        <w:jc w:val="both"/>
      </w:pPr>
    </w:p>
    <w:p>
      <w:pPr>
        <w:pStyle w:val="Normal"/>
        <w:ind w:firstLine="720"/>
        <w:jc w:val="both"/>
      </w:pPr>
    </w:p>
    <w:sectPr>
      <w:type w:val="nextPage"/>
      <w:pgSz w:w="11906" w:h="16838"/>
      <w:pgMar w:top="719" w:right="386" w:bottom="53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3020203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/>
  <w:compat>
    <w:spaceForUL w:val="true"/>
    <w:useNormalStyleForList w:val="true"/>
    <w:doNotUseIndentAsNumberingTabStop w:val="true"/>
    <w:useAltKinsokuLineBreakRules w:val="true"/>
    <w:allowSpaceOfSameStyleInTable w:val="true"/>
    <w:doNotSuppressIndentation w:val="true"/>
    <w:doNotAutofitConstrainedTables w:val="true"/>
    <w:autofitToFirstFixedWidthCell w:val="true"/>
    <w:displayHangulFixedWidth w:val="true"/>
    <w:splitPgBreakAndParaMark w:val="true"/>
    <w:doNotVertAlignCellWithSp w:val="true"/>
    <w:doNotBreakConstrainedForcedTable w:val="true"/>
    <w:doNotVertAlignInTxbx w:val="true"/>
    <w:useAnsiKerningPairs w:val="true"/>
    <w:cachedColBalance w:val="true"/>
    <w:compatSetting w:name="compatibilityMode" w:uri="http://schemas.microsoft.com/office/word" w:val="11"/>
  </w:compat>
  <w:themeFontLang w:eastAsia="zh-CN" w:val="en-US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lang w:val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Normal">
    <w:name w:val="Normal"/>
    <w:aliases w:val="Обычный"/>
    <w:next w:val="Normal"/>
    <w:link w:val="Normal"/>
    <w:rPr>
      <w:sz w:val="24"/>
      <w:szCs w:val="24"/>
      <w:lang w:val="ru-RU" w:bidi="ar-SA" w:eastAsia="ru-RU"/>
    </w:rPr>
  </w:style>
  <w:style w:type="character" w:styleId="NormalCharacter">
    <w:name w:val="Основной шрифт абзаца"/>
    <w:next w:val="NormalCharacter"/>
    <w:link w:val="Normal"/>
    <w:semiHidden/>
  </w:style>
  <w:style w:type="table" w:styleId="TableNormal">
    <w:name w:val="Обычная таблица"/>
    <w:next w:val="TableNormal"/>
    <w:link w:val="Normal"/>
    <w:semiHidden/>
  </w:style>
  <w:style w:type="numbering" w:styleId="NormalList">
    <w:name w:val="Нет списка"/>
    <w:next w:val="NormalList"/>
    <w:link w:val="Normal"/>
    <w:semiHidden/>
  </w:style>
  <w:style w:type="paragraph" w:styleId="UserStyle_0">
    <w:name w:val="List Paragraph"/>
    <w:basedOn w:val="Normal"/>
    <w:next w:val="UserStyle_0"/>
    <w:link w:val="Normal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TableGrid">
    <w:name w:val="Сетка таблицы"/>
    <w:basedOn w:val="TableNormal"/>
    <w:next w:val="TableGrid"/>
    <w:link w:val="Normal"/>
  </w:style>
  <w:style w:type="paragraph" w:styleId="Acetate">
    <w:name w:val="Текст выноски"/>
    <w:basedOn w:val="Normal"/>
    <w:next w:val="Acetate"/>
    <w:link w:val="UserStyle_1"/>
    <w:rPr>
      <w:rFonts w:ascii="Segoe UI" w:hAnsi="Segoe UI"/>
      <w:sz w:val="18"/>
      <w:szCs w:val="18"/>
    </w:rPr>
  </w:style>
  <w:style w:type="character" w:styleId="UserStyle_1">
    <w:name w:val="Текст выноски Знак"/>
    <w:next w:val="UserStyle_1"/>
    <w:link w:val="Acetate"/>
    <w:rPr>
      <w:rFonts w:ascii="Segoe UI" w:hAnsi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ONLYOFFICE/7.1.1.57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