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</w:pPr>
      <w:r>
        <w:rPr>
          <w:b/>
          <w:bCs/>
        </w:rPr>
        <w:t xml:space="preserve">УСЛОВИЯ ТИПОВОГО ДОГОВОРА</w:t>
      </w:r>
      <w:r>
        <w:rPr>
          <w:b/>
          <w:bCs/>
        </w:rPr>
        <w:t xml:space="preserve"> № </w:t>
      </w:r>
      <w:r>
        <w:rPr>
          <w:b/>
          <w:bCs/>
        </w:rPr>
        <w:t xml:space="preserve">_______________</w:t>
      </w:r>
      <w:r>
        <w:rPr>
          <w:b/>
          <w:bCs/>
        </w:rPr>
        <w:br w:type="textWrapping" w:clear="all"/>
        <w:t xml:space="preserve">об осуществлении технологического присоединения к электрическим сетям</w:t>
      </w:r>
      <w:r>
        <w:br w:type="textWrapping" w:clear="all"/>
        <w:t xml:space="preserve">(для юридических лиц или индивидуальных предпринимателей в целях технологического присоединения </w:t>
      </w:r>
      <w:r>
        <w:t xml:space="preserve">по второй или третьей категории надежности</w:t>
      </w:r>
      <w:r>
        <w:t xml:space="preserve"> </w:t>
      </w:r>
      <w:r>
        <w:t xml:space="preserve">энергопринимающих устройств</w:t>
      </w:r>
      <w:r>
        <w:t xml:space="preserve">, максимальная мощность которых составляет свыше 15 кВт до 150 кВт включительно, с учетом ранее присоединенных в данной точке присоединения энергопринимающих устройств)</w:t>
      </w:r>
      <w:r>
        <w:t xml:space="preserve"> </w:t>
      </w:r>
      <w:r>
        <w:rPr>
          <w:b/>
          <w:bCs/>
        </w:rPr>
        <w:t xml:space="preserve">выше 1000 В.  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  <w:r>
        <w:t xml:space="preserve">г. </w:t>
      </w:r>
      <w:r>
        <w:t xml:space="preserve">Красноярск</w:t>
      </w:r>
      <w:r>
        <w:t xml:space="preserve">    </w:t>
      </w:r>
      <w:r>
        <w:t xml:space="preserve">                   </w:t>
      </w:r>
      <w:r>
        <w:t xml:space="preserve">               </w:t>
      </w:r>
      <w:r>
        <w:t xml:space="preserve">    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__________________________________________________________________________</w:t>
      </w:r>
      <w:r>
        <w:t xml:space="preserve"> именуемое в дальнейшем Сетевой организацией, интересы которой представляет___________________________, действующий(ая) на основании ______________________________________, с одной стороны, и 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</w:t>
      </w:r>
      <w:r>
        <w:t xml:space="preserve"> именуемый(ая) в дальнейшем Заявителем, с другой стороны, вместе именуемые Сторонами, заключили настоящий договор о нижеследующем: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I. Предмет договора</w:t>
      </w:r>
    </w:p>
    <w:p>
      <w:pPr>
        <w:pStyle w:val="Normal"/>
        <w:ind w:firstLine="720"/>
        <w:jc w:val="both"/>
      </w:pPr>
      <w:r>
        <w:t xml:space="preserve">1.1.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- технологическое присоединение</w:t>
      </w:r>
      <w:r>
        <w:t xml:space="preserve">),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</w:t>
      </w:r>
      <w:r>
        <w:t xml:space="preserve">м следующих характеристик: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присоединяемых энергопринимающих устройств </w:t>
      </w:r>
      <w:r>
        <w:rPr>
          <w:b/>
          <w:bCs/>
        </w:rPr>
        <w:t xml:space="preserve">____</w:t>
      </w:r>
      <w:r>
        <w:rPr>
          <w:b/>
          <w:bCs/>
        </w:rPr>
        <w:t xml:space="preserve"> кВт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категория надёжности </w:t>
      </w:r>
      <w:r>
        <w:rPr>
          <w:b/>
          <w:bCs/>
        </w:rPr>
        <w:t xml:space="preserve">_________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класс напряжения электрических сетей, к которым</w:t>
      </w:r>
      <w:r>
        <w:t xml:space="preserve"> осуществляется технологическое </w:t>
      </w:r>
      <w:r>
        <w:t xml:space="preserve">присоединение </w:t>
      </w:r>
      <w:r>
        <w:rPr>
          <w:b/>
          <w:bCs/>
        </w:rPr>
        <w:t xml:space="preserve">______</w:t>
      </w:r>
      <w:r>
        <w:rPr>
          <w:b/>
          <w:bCs/>
        </w:rPr>
        <w:t xml:space="preserve">кВ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ранее присоединённых энергопринимающих устройств </w:t>
      </w:r>
      <w:r>
        <w:rPr>
          <w:b/>
          <w:bCs/>
        </w:rPr>
        <w:t xml:space="preserve">____</w:t>
      </w:r>
      <w:r>
        <w:rPr>
          <w:b/>
          <w:bCs/>
        </w:rPr>
        <w:t xml:space="preserve"> кВт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1.2. Заявитель обязуется оплатить расходы на технологическое присоединение в соответствии с условиями настоящего договора.</w:t>
      </w:r>
    </w:p>
    <w:p>
      <w:pPr>
        <w:pStyle w:val="Normal"/>
        <w:ind w:firstLine="720"/>
        <w:jc w:val="both"/>
      </w:pPr>
      <w:r>
        <w:t xml:space="preserve">2. Технологическое присоединение необходимо для электроснабжения объекта: </w:t>
      </w:r>
      <w:r>
        <w:rPr>
          <w:b/>
          <w:bCs/>
        </w:rPr>
        <w:t xml:space="preserve">_____________</w:t>
      </w:r>
      <w:r>
        <w:rPr>
          <w:b/>
          <w:bCs/>
        </w:rPr>
        <w:t xml:space="preserve"> </w:t>
      </w:r>
      <w:r>
        <w:t xml:space="preserve"> по адресу: </w:t>
      </w:r>
      <w:r>
        <w:rPr>
          <w:b/>
          <w:bCs/>
        </w:rPr>
        <w:t xml:space="preserve">___________________________________</w:t>
      </w:r>
      <w:r>
        <w:rPr>
          <w:b/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3. Перечень мероприятий по технологическому присоединению содержится в Технических условиях</w:t>
      </w:r>
      <w:r>
        <w:rPr>
          <w:b/>
          <w:bCs/>
        </w:rPr>
        <w:t xml:space="preserve">,</w:t>
      </w:r>
      <w:r>
        <w:rPr>
          <w:b/>
          <w:bCs/>
        </w:rPr>
        <w:t xml:space="preserve"> </w:t>
      </w:r>
      <w:r>
        <w:t xml:space="preserve"> являющихся неотъемлемой частью настоящего договора</w:t>
      </w:r>
      <w:r>
        <w:t xml:space="preserve">, </w:t>
      </w:r>
      <w:r>
        <w:t xml:space="preserve"> размещенных на официальном сайте Сетевой организа</w:t>
      </w:r>
      <w:r>
        <w:t xml:space="preserve">ции в разделе «Л</w:t>
      </w:r>
      <w:r>
        <w:t xml:space="preserve">ичный кабинет потребителя» (далее Технические условия). Срок действия технических условий составляет 2 года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4. Точка присоединения энергопринимающих устройств Заявителя к электрическим сетям Сетевой организации (далее Точка присоединения) указана в Технических условиях и располагается на расстоянии не далее 15 метров во внешнюю сторону от границы участка, на котором располагаются (будут располагаться) присоединяемые объекты Заявителя.</w:t>
      </w:r>
    </w:p>
    <w:p>
      <w:pPr>
        <w:pStyle w:val="Normal"/>
        <w:ind w:firstLine="720"/>
        <w:jc w:val="both"/>
      </w:pPr>
      <w:r>
        <w:t xml:space="preserve">5. Срок выполнения  мероприятий по технологическому присоединению составляет </w:t>
      </w:r>
      <w:r>
        <w:t xml:space="preserve">_____________</w:t>
      </w:r>
      <w:r>
        <w:t xml:space="preserve"> со дня заключения настоящего договора.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II. Порядок заключения договора</w:t>
      </w:r>
    </w:p>
    <w:p>
      <w:pPr>
        <w:pStyle w:val="Normal"/>
        <w:ind w:firstLine="720"/>
        <w:jc w:val="both"/>
      </w:pPr>
      <w:r>
        <w:rPr>
          <w:bCs/>
        </w:rPr>
        <w:t xml:space="preserve">6. Договор </w:t>
      </w:r>
      <w:r>
        <w:t xml:space="preserve">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счета. </w:t>
      </w:r>
    </w:p>
    <w:p>
      <w:pPr>
        <w:pStyle w:val="Normal"/>
        <w:ind w:firstLine="720"/>
        <w:jc w:val="both"/>
      </w:pPr>
      <w:r>
        <w:t xml:space="preserve">7. Заявитель при внесении платы за технологическое присоединение в назначении платежа обязан указать реквизиты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8. Договор считается заключенным со дня оплаты заявителем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9. В случае несоблюдения заявителем обязанности по оплате сче</w:t>
      </w:r>
      <w:r>
        <w:t xml:space="preserve">та в срок, установленный п. 15</w:t>
      </w:r>
      <w:r>
        <w:t xml:space="preserve"> настоящего договора договор считается незаключенным, а заявка аннулируется.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</w:t>
      </w:r>
      <w:r>
        <w:rPr>
          <w:b/>
          <w:bCs/>
          <w:lang w:val="en-US"/>
        </w:rPr>
        <w:t xml:space="preserve">I</w:t>
      </w:r>
      <w:r>
        <w:rPr>
          <w:b/>
          <w:bCs/>
        </w:rPr>
        <w:t xml:space="preserve">. Обязанности Сторон</w:t>
      </w:r>
    </w:p>
    <w:p>
      <w:pPr>
        <w:pStyle w:val="Normal"/>
        <w:ind w:firstLine="720"/>
        <w:jc w:val="both"/>
      </w:pPr>
      <w:r>
        <w:t xml:space="preserve">10. Сетевая организация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Сетевую организацию мероприятия по технологическому присоединению (включая урегулирование отношений с иными лицами) до Точки присоединения, указанной в Технических условиях;</w:t>
      </w:r>
    </w:p>
    <w:p>
      <w:pPr>
        <w:pStyle w:val="Normal"/>
        <w:ind w:firstLine="720"/>
        <w:jc w:val="both"/>
      </w:pPr>
      <w:r>
        <w:t xml:space="preserve">- разместить в личном кабинете потребителя акт допуска прибора учета в эксплуатацию в срок не </w:t>
      </w:r>
      <w:r>
        <w:t xml:space="preserve">позднее окончания рабочего дня, когда был осуществлен допуск в эксплуатацию прибора учета. </w:t>
      </w:r>
    </w:p>
    <w:p>
      <w:pPr>
        <w:pStyle w:val="Normal"/>
        <w:ind w:firstLine="720"/>
        <w:jc w:val="both"/>
      </w:pPr>
      <w:r>
        <w:t xml:space="preserve">- уведомить заявителя  о размещении в личном кабинете потребителя акта допуска прибора учета в эксплуатацию, в срок не позднее (в течение) 1 рабочего дня со дня размещения</w:t>
      </w:r>
      <w:r>
        <w:t xml:space="preserve"> 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</w:t>
      </w:r>
      <w:r>
        <w:t xml:space="preserve">)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Прибор учета считается введенным в эксплуатацию со дня размещения акта допуска прибора учета в эксплуатацию в личном кабинете потребителя и с этого дня его показания учитываются при определении объема потребления электрической энергии.</w:t>
      </w:r>
    </w:p>
    <w:p>
      <w:pPr>
        <w:pStyle w:val="Normal"/>
        <w:ind w:firstLine="720"/>
        <w:jc w:val="both"/>
      </w:pPr>
      <w:r>
        <w:t xml:space="preserve">  </w:t>
      </w:r>
      <w:r>
        <w:t xml:space="preserve">-  </w:t>
      </w:r>
      <w:r>
        <w:t xml:space="preserve">в течение 7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</w:t>
      </w:r>
      <w:r>
        <w:t xml:space="preserve">принимающих устройств Заявителя, составить в электронной форме и разместить в Личном кабинете потребителя акт о выполнении технических условий, подписанный усиленной квалифицированной электронной подписью уполномоченного лица Сетевой организации;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не позднее 7 рабочих дней со дня проведения осмотра (обследования), указанного в абзаце </w:t>
      </w:r>
      <w:r>
        <w:t xml:space="preserve">шестом</w:t>
      </w:r>
      <w:r>
        <w:t xml:space="preserve"> настоящего пункта, с соблюдением срока, установленного пунктом 5 настоящих условий договора, осуществить фактическое присоединение энергопринимающих устройств Заявителя к электрическим сетям, фактический прием</w:t>
      </w:r>
      <w:r>
        <w:t xml:space="preserve"> (подачу) напряжения и мощности, составить в электронной форме и разместить в Личном кабинете потребителя акт об осуществлении технологического присоединения, подписанный усиленной квалифицированной электронной подписью уполномоченного лица Сетевой организации;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уведомить заявителя о составлении и размещении в личном кабинете документов, подлежащих оформлению в процессе технологического присоединения энергопринимающих устройств заявителя</w:t>
      </w:r>
      <w:r>
        <w:t xml:space="preserve"> 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</w:t>
      </w:r>
      <w:r>
        <w:t xml:space="preserve">)</w:t>
      </w:r>
      <w:r>
        <w:t xml:space="preserve">.</w:t>
      </w:r>
      <w:r>
        <w:t xml:space="preserve">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поступления замечаний от Заявителя, </w:t>
      </w:r>
      <w:r>
        <w:t xml:space="preserve">устранить несоответствия реализованных Сетевой организацией мероприятий Техническим условиям и (или) Правилам технологического присоединения энергопринимающих устройств потребителей электрической энергии … к электрическим сетям, утвержденным </w:t>
      </w:r>
      <w:r>
        <w:fldChar w:fldCharType="begin"/>
      </w:r>
      <w:r>
        <w:instrText xml:space="preserve">HYPERLINK \l "sub_0"</w:instrText>
      </w:r>
      <w:r>
        <w:fldChar w:fldCharType="separate"/>
      </w:r>
      <w:r>
        <w:t xml:space="preserve">постановлением</w:t>
      </w:r>
      <w:r>
        <w:fldChar w:fldCharType="end"/>
      </w:r>
      <w:r>
        <w:t xml:space="preserve"> Правительства РФ от 27 декабря 2004 г. N 861 (далее Правила),  в срок не позднее 10 рабочих д</w:t>
      </w:r>
      <w:r>
        <w:t xml:space="preserve">ней со дня поступления </w:t>
      </w:r>
      <w:r>
        <w:t xml:space="preserve"> замечаний</w:t>
      </w:r>
      <w:r>
        <w:t xml:space="preserve"> Заявителя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</w:t>
      </w:r>
      <w:r>
        <w:t xml:space="preserve">Заявителя (потребителя)</w:t>
      </w:r>
      <w:r>
        <w:t xml:space="preserve">, </w:t>
      </w:r>
      <w:r>
        <w:t xml:space="preserve">устранить обстоятельства, свидетельствующие о ненадлежащем исполнении Сетевой организацией технических условий, установленные Заявителем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Заявителю (потребителю), в срок не позднее 20 рабочих дней со дня пос</w:t>
      </w:r>
      <w:r>
        <w:t xml:space="preserve">тупления </w:t>
      </w:r>
      <w:r>
        <w:t xml:space="preserve"> обращения</w:t>
      </w:r>
      <w:r>
        <w:t xml:space="preserve"> Заявителя (потребителя)</w:t>
      </w:r>
      <w:r>
        <w:t xml:space="preserve">.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Заявителя, </w:t>
      </w:r>
      <w:r>
        <w:t xml:space="preserve">направить Заявителю </w:t>
      </w:r>
      <w:r>
        <w:t xml:space="preserve">документы, </w:t>
      </w:r>
      <w:r>
        <w:t xml:space="preserve">размеще</w:t>
      </w:r>
      <w:r>
        <w:t xml:space="preserve">нные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</w:t>
      </w:r>
      <w:r>
        <w:t xml:space="preserve">требителя, на бумажном носителе, </w:t>
      </w:r>
      <w:r>
        <w:t xml:space="preserve">подписанные со стороны сетевой организации, в течение 30 календарных дней со дня поступления обращения Заявителя (потребителя).</w:t>
      </w:r>
    </w:p>
    <w:p>
      <w:pPr>
        <w:pStyle w:val="Normal"/>
        <w:ind w:firstLine="720"/>
        <w:jc w:val="both"/>
      </w:pPr>
      <w:r>
        <w:t xml:space="preserve">11.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</w:t>
      </w:r>
      <w:r>
        <w:t xml:space="preserve">,</w:t>
      </w:r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>
      <w:pPr>
        <w:pStyle w:val="Normal"/>
        <w:ind w:firstLine="720"/>
        <w:jc w:val="both"/>
      </w:pPr>
      <w:r>
        <w:t xml:space="preserve">12. Заявитель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Заявителя мероприятия по технологическому присоединению от Точки присоединения до энергопринимающих устройств Заявителя, указанные в Технических условиях;</w:t>
      </w:r>
    </w:p>
    <w:p>
      <w:pPr>
        <w:pStyle w:val="Normal"/>
        <w:ind w:firstLine="720"/>
        <w:jc w:val="both"/>
      </w:pPr>
      <w:r>
        <w:t xml:space="preserve">- обеспечить на безвозмездной основе предоставление сетевой организации мест установки приборов учета электрической энергии и (или) иного указанного оборудования и доступ к таким местам, в случае,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возможна только в границах участка заявителя или на объектах заявителя.</w:t>
      </w:r>
    </w:p>
    <w:p>
      <w:pPr>
        <w:pStyle w:val="Normal"/>
        <w:ind w:firstLine="720"/>
        <w:jc w:val="both"/>
      </w:pPr>
      <w:r>
        <w:t xml:space="preserve">- исполнять обязательства по оплате расходов на технологическое присоединение в порядке и на условиях, предусмотренных настоящим Договором;</w:t>
      </w:r>
    </w:p>
    <w:p>
      <w:pPr>
        <w:pStyle w:val="Normal"/>
        <w:ind w:firstLine="720"/>
        <w:jc w:val="both"/>
      </w:pPr>
      <w:r>
        <w:t xml:space="preserve">- 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>
      <w:pPr>
        <w:pStyle w:val="Normal"/>
        <w:ind w:firstLine="720"/>
        <w:jc w:val="both"/>
      </w:pPr>
      <w:r>
        <w:t xml:space="preserve">13. Заявитель вправе:</w:t>
      </w:r>
    </w:p>
    <w:p>
      <w:pPr>
        <w:pStyle w:val="Normal"/>
        <w:ind w:firstLine="720"/>
        <w:jc w:val="both"/>
      </w:pPr>
      <w:r>
        <w:t xml:space="preserve">-  обратиться в Сетевую организацию с просьбой о продлении срока действия технических условий,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присоединения;</w:t>
      </w:r>
    </w:p>
    <w:p>
      <w:pPr>
        <w:pStyle w:val="Normal"/>
        <w:ind w:firstLine="720"/>
        <w:jc w:val="both"/>
      </w:pPr>
      <w:r>
        <w:t xml:space="preserve">- представить Сетевой организации замечания к акту о выполнении технических условий и  акту об осуществлении технологического присоединения, в течение 20 рабочих дней со дня получения уведомления от сетевой организаци</w:t>
      </w:r>
      <w:r>
        <w:t xml:space="preserve">и о составлении и размещении в Л</w:t>
      </w:r>
      <w:r>
        <w:t xml:space="preserve">ичном кабинете потребителя указанных актов;</w:t>
      </w:r>
    </w:p>
    <w:p>
      <w:pPr>
        <w:pStyle w:val="Normal"/>
        <w:ind w:firstLine="720"/>
        <w:jc w:val="both"/>
      </w:pPr>
      <w:r>
        <w:t xml:space="preserve">- обратиться к сетевой организации за устранением обстоятельств, свидетельству</w:t>
      </w:r>
      <w:r>
        <w:t xml:space="preserve">ющих о ненадлежащем исполнении С</w:t>
      </w:r>
      <w:r>
        <w:t xml:space="preserve">етевой организацией техн</w:t>
      </w:r>
      <w:r>
        <w:t xml:space="preserve">ических условий, установленных З</w:t>
      </w:r>
      <w:r>
        <w:t xml:space="preserve">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потребителю.</w:t>
      </w:r>
    </w:p>
    <w:p>
      <w:pPr>
        <w:pStyle w:val="Normal"/>
        <w:ind w:firstLine="720"/>
        <w:jc w:val="both"/>
      </w:pPr>
      <w:r>
        <w:t xml:space="preserve">- обратиться, после завершения процедуры технологического присоединения, к Сетевой организации с требованием предоставления доку</w:t>
      </w:r>
      <w:r>
        <w:t xml:space="preserve">ментов, которые были размещены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потребителя, на бумажном носителе.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</w:t>
      </w:r>
      <w:r>
        <w:rPr>
          <w:b/>
          <w:bCs/>
          <w:lang w:val="en-US"/>
        </w:rPr>
        <w:t xml:space="preserve">V</w:t>
      </w:r>
      <w:r>
        <w:rPr>
          <w:b/>
          <w:bCs/>
        </w:rPr>
        <w:t xml:space="preserve">. Плата за технологическое присоединение и порядок расчетов</w:t>
      </w:r>
      <w:r>
        <w:rPr>
          <w:b/>
          <w:bCs/>
        </w:rPr>
      </w:r>
    </w:p>
    <w:p>
      <w:pPr>
        <w:pStyle w:val="Normal"/>
        <w:ind w:firstLine="720"/>
        <w:jc w:val="both"/>
      </w:pPr>
      <w:r>
        <w:t xml:space="preserve">14. Размер платы за технологическое присоединение определяется в соответствии с приказом Департамента тарифного регулирования </w:t>
      </w:r>
      <w:r>
        <w:t xml:space="preserve">Красноярского края</w:t>
      </w:r>
      <w:r>
        <w:t xml:space="preserve"> </w:t>
      </w:r>
      <w:r>
        <w:rPr>
          <w:b/>
          <w:bCs/>
        </w:rPr>
        <w:t xml:space="preserve">____________________________</w:t>
      </w:r>
      <w:r>
        <w:t xml:space="preserve"> и составляет </w:t>
      </w:r>
      <w:r>
        <w:rPr>
          <w:b/>
          <w:bCs/>
        </w:rPr>
        <w:t xml:space="preserve">_________________</w:t>
      </w:r>
      <w:r>
        <w:t xml:space="preserve"> (</w:t>
      </w:r>
      <w:r>
        <w:t xml:space="preserve">_________________________________________________</w:t>
      </w:r>
      <w:r>
        <w:t xml:space="preserve">), в том числе НДС 20%.</w:t>
      </w:r>
    </w:p>
    <w:p>
      <w:pPr>
        <w:pStyle w:val="Normal"/>
        <w:ind w:firstLine="720"/>
        <w:jc w:val="both"/>
      </w:pPr>
      <w:r>
        <w:t xml:space="preserve">15. Внесение платы за технологическое присоединение осуществляется Заявителем в следующем порядке:</w:t>
      </w:r>
    </w:p>
    <w:p>
      <w:pPr>
        <w:pStyle w:val="Normal"/>
        <w:ind w:firstLine="720"/>
        <w:jc w:val="both"/>
      </w:pPr>
      <w:r>
        <w:t xml:space="preserve">А) </w:t>
      </w:r>
      <w:r>
        <w:rPr>
          <w:b/>
          <w:bCs/>
        </w:rPr>
        <w:t xml:space="preserve">100 процентов в течение 5 рабочих дней</w:t>
      </w:r>
      <w:r>
        <w:rPr>
          <w:bCs/>
        </w:rPr>
        <w:t xml:space="preserve"> </w:t>
      </w:r>
      <w:r>
        <w:t xml:space="preserve">со дня выставления сетевой организацией счета</w:t>
      </w:r>
      <w:r>
        <w:rPr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Б) Беспроцентная рассрочка платежа:</w:t>
      </w:r>
    </w:p>
    <w:p>
      <w:pPr>
        <w:pStyle w:val="Normal"/>
        <w:ind w:firstLine="720"/>
        <w:jc w:val="both"/>
        <w:rPr>
          <w:bCs/>
        </w:rPr>
      </w:pPr>
      <w:r>
        <w:rPr>
          <w:b/>
        </w:rPr>
        <w:t xml:space="preserve">- 10 процентов</w:t>
      </w:r>
      <w:r>
        <w:t xml:space="preserve"> </w:t>
      </w:r>
      <w:r>
        <w:rPr>
          <w:b/>
          <w:bCs/>
        </w:rPr>
        <w:t xml:space="preserve">в течение 5 рабочих дней</w:t>
      </w:r>
      <w:r>
        <w:rPr>
          <w:bCs/>
        </w:rPr>
        <w:t xml:space="preserve"> </w:t>
      </w:r>
      <w:r>
        <w:t xml:space="preserve">со дня выставления сетевой организацией счета</w:t>
      </w:r>
      <w:r>
        <w:rPr>
          <w:bCs/>
        </w:rPr>
        <w:t xml:space="preserve">.</w:t>
      </w:r>
    </w:p>
    <w:p>
      <w:pPr>
        <w:pStyle w:val="Normal"/>
        <w:ind w:firstLine="720"/>
        <w:jc w:val="both"/>
        <w:rPr>
          <w:bCs/>
        </w:rPr>
      </w:pPr>
      <w:r>
        <w:rPr>
          <w:b/>
          <w:bCs/>
        </w:rPr>
        <w:t xml:space="preserve">- 90 </w:t>
      </w:r>
      <w:r>
        <w:rPr>
          <w:b/>
        </w:rPr>
        <w:t xml:space="preserve">процентов</w:t>
      </w:r>
      <w:r>
        <w:t xml:space="preserve"> ежеквартально </w:t>
      </w:r>
      <w:r>
        <w:rPr>
          <w:bCs/>
        </w:rPr>
        <w:t xml:space="preserve">равными долями</w:t>
      </w:r>
      <w:r>
        <w:t xml:space="preserve"> </w:t>
      </w:r>
      <w:r>
        <w:rPr>
          <w:bCs/>
        </w:rPr>
        <w:t xml:space="preserve">от общей суммы рассрочки </w:t>
      </w:r>
      <w:r>
        <w:rPr>
          <w:bCs/>
        </w:rPr>
        <w:t xml:space="preserve">в течение </w:t>
      </w:r>
      <w:r>
        <w:rPr>
          <w:bCs/>
        </w:rPr>
        <w:t xml:space="preserve">3 лет. </w:t>
      </w:r>
    </w:p>
    <w:p>
      <w:pPr>
        <w:pStyle w:val="Normal"/>
        <w:ind w:firstLine="720"/>
        <w:jc w:val="both"/>
        <w:rPr>
          <w:bCs/>
        </w:rPr>
      </w:pPr>
      <w:r>
        <w:rPr>
          <w:bCs/>
        </w:rPr>
        <w:t xml:space="preserve">График платежей размещен </w:t>
      </w:r>
      <w:r>
        <w:t xml:space="preserve">на сайте Сетевой организации в разделе «Личный кабинет потребителя».</w:t>
      </w:r>
      <w:r>
        <w:rPr>
          <w:bCs/>
        </w:rPr>
      </w:r>
    </w:p>
    <w:p>
      <w:pPr>
        <w:pStyle w:val="Normal"/>
        <w:ind w:firstLine="720"/>
        <w:jc w:val="both"/>
      </w:pPr>
      <w:r>
        <w:t xml:space="preserve">16.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V. Разграничение балансовой принадлежности электрических сетей</w:t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и эксплуатационной ответственности Сторон</w:t>
      </w:r>
    </w:p>
    <w:p>
      <w:pPr>
        <w:pStyle w:val="Normal"/>
        <w:ind w:firstLine="720"/>
        <w:jc w:val="both"/>
        <w:rPr>
          <w:b/>
          <w:bCs/>
        </w:rPr>
      </w:pPr>
      <w:r>
        <w:t xml:space="preserve">17. Границей балансовой принадлежности энергопринимающих устройств и эксплуатационной о</w:t>
      </w:r>
      <w:r>
        <w:t xml:space="preserve">тветственности сторон является Т</w:t>
      </w:r>
      <w:r>
        <w:t xml:space="preserve">очка присоединения энергопринимающих устройств, если иное не уста</w:t>
      </w:r>
      <w:bookmarkStart w:id="0" w:name="_GoBack"/>
      <w:bookmarkEnd w:id="0"/>
      <w:r>
        <w:t xml:space="preserve">новлено соглашением между сетевой организацией и заявителем, заключенным на основании его обращения в сетевую организацию.</w:t>
      </w:r>
      <w:r>
        <w:rPr>
          <w:b/>
          <w:bCs/>
        </w:rPr>
        <w:t xml:space="preserve"> </w:t>
      </w: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 xml:space="preserve">VI</w:t>
      </w:r>
      <w:r>
        <w:rPr>
          <w:b/>
          <w:bCs/>
        </w:rPr>
        <w:t xml:space="preserve">. Условия изменения, расторжения договора и ответственность Сторон</w:t>
      </w:r>
    </w:p>
    <w:p>
      <w:pPr>
        <w:pStyle w:val="Normal"/>
        <w:ind w:firstLine="720"/>
        <w:jc w:val="both"/>
        <w:rPr>
          <w:lang w:val="en-US"/>
        </w:rPr>
      </w:pPr>
      <w:r>
        <w:t xml:space="preserve">18. Настоящий договор может быть изменен по письменному соглашению Сторон или в судебном порядке.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19. Договор может быть расторгнут по требованию одной из Сторон по основаниям, предусмотренным Гражданским кодексом Российской Федерации.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20.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1</w:t>
      </w:r>
      <w: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ind w:firstLine="720"/>
        <w:jc w:val="both"/>
      </w:pPr>
      <w:r>
        <w:t xml:space="preserve">2</w:t>
      </w:r>
      <w:r>
        <w:t xml:space="preserve">2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VI. </w:t>
      </w:r>
      <w:r>
        <w:rPr>
          <w:b/>
          <w:bCs/>
        </w:rPr>
        <w:t xml:space="preserve">Порядок разрешения споров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3</w:t>
      </w:r>
      <w:r>
        <w:t xml:space="preserve">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>
      <w:pPr>
        <w:pStyle w:val="Normal"/>
        <w:ind w:firstLine="720"/>
        <w:jc w:val="center"/>
        <w:rPr>
          <w:lang w:val="en-US"/>
        </w:rPr>
      </w:pPr>
      <w:r>
        <w:rPr>
          <w:b/>
          <w:bCs/>
          <w:lang w:val="en-US"/>
        </w:rPr>
        <w:t xml:space="preserve">VII. </w:t>
      </w:r>
      <w:r>
        <w:rPr>
          <w:b/>
          <w:bCs/>
        </w:rPr>
        <w:t xml:space="preserve">Заключительные положения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4</w:t>
      </w:r>
      <w:r>
        <w:t xml:space="preserve">. Настоящий договор составлен и подписан в двух экземплярах, по одному для каждой из Сторон.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VIII. </w:t>
      </w:r>
      <w:r>
        <w:rPr>
          <w:b/>
          <w:bCs/>
        </w:rPr>
        <w:t xml:space="preserve">Реквизиты Сторон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</w:p>
    <w:sectPr>
      <w:type w:val="nextPage"/>
      <w:pgSz w:w="11906" w:h="16838"/>
      <w:pgMar w:top="719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List Paragraph"/>
    <w:basedOn w:val="Normal"/>
    <w:next w:val="UserStyle_0"/>
    <w:link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"/>
    <w:rPr>
      <w:rFonts w:ascii="Segoe UI" w:hAnsi="Segoe UI"/>
      <w:sz w:val="18"/>
      <w:szCs w:val="18"/>
    </w:rPr>
  </w:style>
  <w:style w:type="character" w:styleId="UserStyle_1">
    <w:name w:val="Текст выноски Знак"/>
    <w:next w:val="UserStyle_1"/>
    <w:link w:val="Acetate"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